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69D4" w14:textId="77777777" w:rsidR="00C84690" w:rsidRPr="00C84690" w:rsidRDefault="00C84690" w:rsidP="00C84690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wniosku w sprawie dofinansowania kształcenia ustawicznego osób pracujących ze środków Krajowego Funduszu Szkoleniowego</w:t>
      </w:r>
    </w:p>
    <w:p w14:paraId="1D05D192" w14:textId="77777777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58291" w14:textId="77777777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Nazwa i adres Wnioskodawcy:</w:t>
      </w:r>
    </w:p>
    <w:p w14:paraId="1CAEB4D1" w14:textId="599BB15D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5B7BFC" w14:textId="42DDFF66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……………………………………………..............................................................………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1B05D05" w14:textId="5E3C1AD3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Numer wniosku: AZ…………………............................................................................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75ED6700" w14:textId="345FE760" w:rsidR="00C84690" w:rsidRPr="00C84690" w:rsidRDefault="00C84690" w:rsidP="00C84690">
      <w:pPr>
        <w:spacing w:line="254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Data wpływu wniosku: 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0"/>
        <w:gridCol w:w="2196"/>
        <w:gridCol w:w="2268"/>
        <w:gridCol w:w="2409"/>
        <w:gridCol w:w="1418"/>
        <w:gridCol w:w="1134"/>
      </w:tblGrid>
      <w:tr w:rsidR="00C84690" w:rsidRPr="00C84690" w14:paraId="1425B39D" w14:textId="77777777" w:rsidTr="00FD5139">
        <w:trPr>
          <w:cantSplit/>
          <w:trHeight w:val="1644"/>
        </w:trPr>
        <w:tc>
          <w:tcPr>
            <w:tcW w:w="640" w:type="dxa"/>
          </w:tcPr>
          <w:p w14:paraId="2F95513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196" w:type="dxa"/>
          </w:tcPr>
          <w:p w14:paraId="0E59087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Zakres oceny</w:t>
            </w:r>
          </w:p>
        </w:tc>
        <w:tc>
          <w:tcPr>
            <w:tcW w:w="4677" w:type="dxa"/>
            <w:gridSpan w:val="2"/>
          </w:tcPr>
          <w:p w14:paraId="08A594A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18" w:type="dxa"/>
            <w:textDirection w:val="btLr"/>
            <w:vAlign w:val="center"/>
          </w:tcPr>
          <w:p w14:paraId="53443D41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Liczba punktów możliwych do zdobycia</w:t>
            </w:r>
          </w:p>
        </w:tc>
        <w:tc>
          <w:tcPr>
            <w:tcW w:w="1134" w:type="dxa"/>
            <w:textDirection w:val="btLr"/>
          </w:tcPr>
          <w:p w14:paraId="7BEED31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Liczba punktów uzyskanych</w:t>
            </w:r>
          </w:p>
        </w:tc>
      </w:tr>
      <w:tr w:rsidR="00C84690" w:rsidRPr="00C84690" w14:paraId="4A8F37AE" w14:textId="77777777" w:rsidTr="00FD5139">
        <w:trPr>
          <w:trHeight w:val="1182"/>
        </w:trPr>
        <w:tc>
          <w:tcPr>
            <w:tcW w:w="640" w:type="dxa"/>
            <w:vMerge w:val="restart"/>
          </w:tcPr>
          <w:p w14:paraId="05684AC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96" w:type="dxa"/>
            <w:vMerge w:val="restart"/>
            <w:textDirection w:val="btLr"/>
          </w:tcPr>
          <w:p w14:paraId="0D0A803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dofinansowywanych działań z ustalonymi priorytetami wydatkowania środków KFS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20 pkt)</w:t>
            </w:r>
          </w:p>
        </w:tc>
        <w:tc>
          <w:tcPr>
            <w:tcW w:w="4677" w:type="dxa"/>
            <w:gridSpan w:val="2"/>
          </w:tcPr>
          <w:p w14:paraId="66E5FE2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Zakres kształcenia wpisuje się w co najmniej jeden z priorytetów wydatkowani środków KFS</w:t>
            </w:r>
          </w:p>
        </w:tc>
        <w:tc>
          <w:tcPr>
            <w:tcW w:w="1418" w:type="dxa"/>
          </w:tcPr>
          <w:p w14:paraId="2054B44E" w14:textId="7B96EAEF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B30636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C95D16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21E5DD8" w14:textId="77777777" w:rsidTr="00FD5139">
        <w:trPr>
          <w:trHeight w:val="1979"/>
        </w:trPr>
        <w:tc>
          <w:tcPr>
            <w:tcW w:w="640" w:type="dxa"/>
            <w:vMerge/>
          </w:tcPr>
          <w:p w14:paraId="7357F15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0FD27C5D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8F9A2AD" w14:textId="5696BA5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Zakres kształcenia nie jest zgodny </w:t>
            </w:r>
            <w:r w:rsidR="00FD5139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z priorytetami KFS (UWAGA: możliwość realizacji wniosku w tym zakresie wyłącznie w ramach naborów uzupełniających, o ile wnioski spełniające priorytety zostały rozpatrzone)</w:t>
            </w:r>
          </w:p>
        </w:tc>
        <w:tc>
          <w:tcPr>
            <w:tcW w:w="1418" w:type="dxa"/>
          </w:tcPr>
          <w:p w14:paraId="3BE284BD" w14:textId="0D153932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30636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C0B21D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71DA8AD1" w14:textId="77777777" w:rsidTr="000E1978">
        <w:trPr>
          <w:trHeight w:val="975"/>
        </w:trPr>
        <w:tc>
          <w:tcPr>
            <w:tcW w:w="640" w:type="dxa"/>
            <w:vMerge w:val="restart"/>
          </w:tcPr>
          <w:p w14:paraId="7203036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96" w:type="dxa"/>
            <w:vMerge w:val="restart"/>
            <w:textDirection w:val="btLr"/>
          </w:tcPr>
          <w:p w14:paraId="78A681BF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wiedzy, umiejętności lub kwalifikacji nabywanych przez uczestników kształcenia ustawicznego z potrzebami lokalnego lub regionalnego rynku pracy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30 pkt)</w:t>
            </w:r>
          </w:p>
        </w:tc>
        <w:tc>
          <w:tcPr>
            <w:tcW w:w="4677" w:type="dxa"/>
            <w:gridSpan w:val="2"/>
          </w:tcPr>
          <w:p w14:paraId="26CC7BF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deficytowy na terenie powiatu węgorzewskiego</w:t>
            </w:r>
          </w:p>
        </w:tc>
        <w:tc>
          <w:tcPr>
            <w:tcW w:w="1418" w:type="dxa"/>
          </w:tcPr>
          <w:p w14:paraId="0DBD7FA4" w14:textId="31DFA4E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39D66B2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E2C5466" w14:textId="77777777" w:rsidTr="00FD5139">
        <w:trPr>
          <w:trHeight w:val="1003"/>
        </w:trPr>
        <w:tc>
          <w:tcPr>
            <w:tcW w:w="640" w:type="dxa"/>
            <w:vMerge/>
          </w:tcPr>
          <w:p w14:paraId="680C5C3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3D3AF0EA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93924A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zrównoważony na terenie powiatu węgorzewskiego</w:t>
            </w:r>
          </w:p>
        </w:tc>
        <w:tc>
          <w:tcPr>
            <w:tcW w:w="1418" w:type="dxa"/>
          </w:tcPr>
          <w:p w14:paraId="40405790" w14:textId="6BC58EE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F6C05E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850530" w14:textId="77777777" w:rsidTr="00FD5139">
        <w:trPr>
          <w:trHeight w:val="986"/>
        </w:trPr>
        <w:tc>
          <w:tcPr>
            <w:tcW w:w="640" w:type="dxa"/>
            <w:vMerge/>
          </w:tcPr>
          <w:p w14:paraId="35AEBE4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0BC64898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0DB956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nadwyżkowy na terenie powiatu węgorzewskiego</w:t>
            </w:r>
          </w:p>
        </w:tc>
        <w:tc>
          <w:tcPr>
            <w:tcW w:w="1418" w:type="dxa"/>
          </w:tcPr>
          <w:p w14:paraId="13008F3B" w14:textId="62AC4C4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17837DF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C241571" w14:textId="77777777" w:rsidTr="00FD5139">
        <w:trPr>
          <w:trHeight w:val="567"/>
        </w:trPr>
        <w:tc>
          <w:tcPr>
            <w:tcW w:w="640" w:type="dxa"/>
            <w:vMerge/>
          </w:tcPr>
          <w:p w14:paraId="4C24D7B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3C74095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A97B04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Brak możliwości oceny – oceniany zakres działań nie występuje w Barometrze zawodów dla powiatu węgorzewskiego  </w:t>
            </w:r>
          </w:p>
        </w:tc>
        <w:tc>
          <w:tcPr>
            <w:tcW w:w="1418" w:type="dxa"/>
          </w:tcPr>
          <w:p w14:paraId="3852E49E" w14:textId="06F70F85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5F19642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41F5DE42" w14:textId="77777777" w:rsidTr="00740F3B">
        <w:trPr>
          <w:cantSplit/>
          <w:trHeight w:val="1740"/>
        </w:trPr>
        <w:tc>
          <w:tcPr>
            <w:tcW w:w="640" w:type="dxa"/>
            <w:vMerge w:val="restart"/>
          </w:tcPr>
          <w:p w14:paraId="3F5771C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6" w:type="dxa"/>
            <w:vMerge w:val="restart"/>
            <w:textDirection w:val="btLr"/>
          </w:tcPr>
          <w:p w14:paraId="18B3F3EC" w14:textId="28EE73DB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Za zgodny zostanie uznany zakres wiedzy, umiejętności lub kwalifikacji wpisujący się w zawód deficytowy dla powiatu węgorzewskiego zgodnie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 xml:space="preserve">z Barometrem Zawodów </w:t>
            </w:r>
            <w:r w:rsidR="000E197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maksymalnie 10 pkt)</w:t>
            </w:r>
          </w:p>
        </w:tc>
        <w:tc>
          <w:tcPr>
            <w:tcW w:w="4677" w:type="dxa"/>
            <w:gridSpan w:val="2"/>
          </w:tcPr>
          <w:p w14:paraId="4AA17369" w14:textId="1975D132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wiedzy, umiejętności lub kwalifikacji nabywanych przez uczestników kształcenia ustawicznego </w:t>
            </w:r>
            <w:r w:rsidR="000E197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z potrzebami lokalnego rynku pracy dla wszystkich wnioskowanych działań</w:t>
            </w:r>
          </w:p>
        </w:tc>
        <w:tc>
          <w:tcPr>
            <w:tcW w:w="1418" w:type="dxa"/>
          </w:tcPr>
          <w:p w14:paraId="2ED55258" w14:textId="4F1B1EF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8C4D39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3CC64790" w14:textId="77777777" w:rsidTr="00740F3B">
        <w:trPr>
          <w:cantSplit/>
          <w:trHeight w:val="1694"/>
        </w:trPr>
        <w:tc>
          <w:tcPr>
            <w:tcW w:w="640" w:type="dxa"/>
            <w:vMerge/>
          </w:tcPr>
          <w:p w14:paraId="105C6FB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45372609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FBAFD96" w14:textId="57E71F03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wiedzy, umiejętności lub kwalifikacji nabywanych przez uczestników kształcenia ustawicznego </w:t>
            </w:r>
            <w:r w:rsidR="000E197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z potrzebami lokalnego rynku pracy dla części wnioskowanych działań</w:t>
            </w:r>
          </w:p>
        </w:tc>
        <w:tc>
          <w:tcPr>
            <w:tcW w:w="1418" w:type="dxa"/>
          </w:tcPr>
          <w:p w14:paraId="739F46EB" w14:textId="5E806FD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070A71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13146216" w14:textId="77777777" w:rsidTr="000E1978">
        <w:trPr>
          <w:cantSplit/>
          <w:trHeight w:val="1417"/>
        </w:trPr>
        <w:tc>
          <w:tcPr>
            <w:tcW w:w="640" w:type="dxa"/>
            <w:vMerge/>
          </w:tcPr>
          <w:p w14:paraId="1DB439F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extDirection w:val="btLr"/>
          </w:tcPr>
          <w:p w14:paraId="2620FD6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AA6C44A" w14:textId="589DAA9A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Brak zgodności wiedzy, umiejętności lub kwalifikacji nabywanych przez uczestników kształcenia ustawicznego </w:t>
            </w:r>
            <w:r w:rsidR="000E197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 potrzebami lokalnego rynku pracy </w:t>
            </w:r>
          </w:p>
        </w:tc>
        <w:tc>
          <w:tcPr>
            <w:tcW w:w="1418" w:type="dxa"/>
          </w:tcPr>
          <w:p w14:paraId="4AC54398" w14:textId="004F0065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0CBEE99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4A37CF48" w14:textId="77777777" w:rsidTr="00FD5139">
        <w:trPr>
          <w:trHeight w:val="1422"/>
        </w:trPr>
        <w:tc>
          <w:tcPr>
            <w:tcW w:w="640" w:type="dxa"/>
            <w:vMerge w:val="restart"/>
          </w:tcPr>
          <w:p w14:paraId="10038EC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96" w:type="dxa"/>
            <w:vMerge w:val="restart"/>
            <w:textDirection w:val="btLr"/>
          </w:tcPr>
          <w:p w14:paraId="738854C2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Koszty usługi kształcenia ustawicznego wskazanej do sfinansowania ze środków KFS w porównaniu z kosztami podobnych usług dostępnych na rynku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30 pkt)</w:t>
            </w:r>
          </w:p>
        </w:tc>
        <w:tc>
          <w:tcPr>
            <w:tcW w:w="2268" w:type="dxa"/>
            <w:vMerge w:val="restart"/>
          </w:tcPr>
          <w:p w14:paraId="50287DB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Koszt wnioskowanego działania jest niższy od kosztu podobnych usług dostępnych na rynku. Przez koszt niższy należy rozumieć koszt:</w:t>
            </w:r>
          </w:p>
        </w:tc>
        <w:tc>
          <w:tcPr>
            <w:tcW w:w="2409" w:type="dxa"/>
          </w:tcPr>
          <w:p w14:paraId="3C6C2E1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Poniżej 30,01 %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D3153A5" w14:textId="3C18C183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08629D4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4C2FBC" w14:textId="77777777" w:rsidTr="00FD5139">
        <w:trPr>
          <w:trHeight w:val="1554"/>
        </w:trPr>
        <w:tc>
          <w:tcPr>
            <w:tcW w:w="640" w:type="dxa"/>
            <w:vMerge/>
          </w:tcPr>
          <w:p w14:paraId="5A17E2F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616BB19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89CC9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7AC70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Poniżej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 xml:space="preserve">25,01% - 30,00 %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313208EC" w14:textId="2491CB92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78D142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2D59F32" w14:textId="77777777" w:rsidTr="00740F3B">
        <w:trPr>
          <w:trHeight w:val="1381"/>
        </w:trPr>
        <w:tc>
          <w:tcPr>
            <w:tcW w:w="640" w:type="dxa"/>
            <w:vMerge/>
          </w:tcPr>
          <w:p w14:paraId="47CFFEE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117312A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69F5AA0" w14:textId="6D5ACA59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 wnioskowanego działania jest porównywalny do kosztu podobnych usług dostępnych na rynku. </w:t>
            </w:r>
            <w:r w:rsidR="00740F3B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Przez koszt porównywalny należy rozumieć koszt:</w:t>
            </w:r>
          </w:p>
        </w:tc>
        <w:tc>
          <w:tcPr>
            <w:tcW w:w="2409" w:type="dxa"/>
          </w:tcPr>
          <w:p w14:paraId="2A646A5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</w:p>
          <w:p w14:paraId="694F761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20,01% - 25,00 %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28737528" w14:textId="083B59B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062369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A3673DB" w14:textId="77777777" w:rsidTr="00CC2AC9">
        <w:trPr>
          <w:trHeight w:val="1391"/>
        </w:trPr>
        <w:tc>
          <w:tcPr>
            <w:tcW w:w="640" w:type="dxa"/>
            <w:vMerge/>
          </w:tcPr>
          <w:p w14:paraId="5848EE5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00EC941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FB0DD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4E4A1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15,01 % - 20,00 %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667C6187" w14:textId="67EE6CE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CB6570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866E39B" w14:textId="77777777" w:rsidTr="00740F3B">
        <w:trPr>
          <w:trHeight w:val="1404"/>
        </w:trPr>
        <w:tc>
          <w:tcPr>
            <w:tcW w:w="640" w:type="dxa"/>
            <w:vMerge/>
          </w:tcPr>
          <w:p w14:paraId="66073BC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3E8D030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B922A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73C3C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10,01 % - 15,00 %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B2A71FA" w14:textId="40D460B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6633EA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178348" w14:textId="77777777" w:rsidTr="00CC2AC9">
        <w:trPr>
          <w:trHeight w:val="1315"/>
        </w:trPr>
        <w:tc>
          <w:tcPr>
            <w:tcW w:w="640" w:type="dxa"/>
            <w:vMerge/>
          </w:tcPr>
          <w:p w14:paraId="4E369CD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202B63F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A679E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9F933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5,01 % - 10,00 %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0DEBDCF" w14:textId="2E8FFA71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C245D2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35B82E4D" w14:textId="77777777" w:rsidTr="00D82132">
        <w:trPr>
          <w:trHeight w:val="1972"/>
        </w:trPr>
        <w:tc>
          <w:tcPr>
            <w:tcW w:w="640" w:type="dxa"/>
            <w:vMerge/>
          </w:tcPr>
          <w:p w14:paraId="6314254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16E67FD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C22DC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63BFC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Od poniżej 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ceny usług podobnych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do powyżej 5,00 %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ceny usług podobnych</w:t>
            </w:r>
          </w:p>
        </w:tc>
        <w:tc>
          <w:tcPr>
            <w:tcW w:w="1418" w:type="dxa"/>
          </w:tcPr>
          <w:p w14:paraId="6CC118DF" w14:textId="64879B5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6E40C4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1B03080B" w14:textId="77777777" w:rsidTr="00D82132">
        <w:trPr>
          <w:trHeight w:val="1403"/>
        </w:trPr>
        <w:tc>
          <w:tcPr>
            <w:tcW w:w="640" w:type="dxa"/>
            <w:vMerge/>
          </w:tcPr>
          <w:p w14:paraId="75D51B6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0B886F8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2B10F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36B0C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Powyżej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5,01 % -10,00 %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2C292627" w14:textId="415F2DB9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1A967E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ACB3AFC" w14:textId="77777777" w:rsidTr="00D82132">
        <w:trPr>
          <w:trHeight w:val="1407"/>
        </w:trPr>
        <w:tc>
          <w:tcPr>
            <w:tcW w:w="640" w:type="dxa"/>
            <w:vMerge/>
          </w:tcPr>
          <w:p w14:paraId="5E5857A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7E276A5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27B98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04C70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10,01 % - 15,00 %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6555694" w14:textId="7B69F93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2E7343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477E598" w14:textId="77777777" w:rsidTr="00D82132">
        <w:trPr>
          <w:trHeight w:val="1403"/>
        </w:trPr>
        <w:tc>
          <w:tcPr>
            <w:tcW w:w="640" w:type="dxa"/>
            <w:vMerge/>
          </w:tcPr>
          <w:p w14:paraId="41A2ABF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18AB009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4251A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42973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15,01 % - 20,00 %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5FAFA0B2" w14:textId="0B97DB2E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FB4C1B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058C01B" w14:textId="77777777" w:rsidTr="00CC2AC9">
        <w:trPr>
          <w:trHeight w:val="1371"/>
        </w:trPr>
        <w:tc>
          <w:tcPr>
            <w:tcW w:w="640" w:type="dxa"/>
            <w:vMerge/>
          </w:tcPr>
          <w:p w14:paraId="06AFAB8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1C54DD9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C5F1D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DC05A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20,01 % - 25,00 %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35D26A6E" w14:textId="5BC02430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449DAB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D369DB7" w14:textId="77777777" w:rsidTr="00FD5139">
        <w:trPr>
          <w:trHeight w:val="2820"/>
        </w:trPr>
        <w:tc>
          <w:tcPr>
            <w:tcW w:w="640" w:type="dxa"/>
            <w:vMerge/>
          </w:tcPr>
          <w:p w14:paraId="67CE779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76CDD28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11D5D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Koszt wnioskowanego działania jest wyższy od kosztu podobnych usług dostępnych na rynku. Przez koszt wyższy należy rozumieć koszt:</w:t>
            </w:r>
          </w:p>
        </w:tc>
        <w:tc>
          <w:tcPr>
            <w:tcW w:w="2409" w:type="dxa"/>
          </w:tcPr>
          <w:p w14:paraId="3445627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Powyżej 25, 01%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64DF1C09" w14:textId="3A106778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5E4376E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7496C40" w14:textId="77777777" w:rsidTr="00FD5139">
        <w:trPr>
          <w:trHeight w:val="1274"/>
        </w:trPr>
        <w:tc>
          <w:tcPr>
            <w:tcW w:w="640" w:type="dxa"/>
            <w:vMerge w:val="restart"/>
          </w:tcPr>
          <w:p w14:paraId="134D6F1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96" w:type="dxa"/>
            <w:vMerge w:val="restart"/>
            <w:textDirection w:val="btLr"/>
          </w:tcPr>
          <w:p w14:paraId="1CAB97A1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Koszty usługi kształcenia ustawicznego wskazanej do sfinansowania ze środków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KFS w porównaniu z kosztami podobnych usług dostępnych na rynku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 (maksymalnie 10 pkt)</w:t>
            </w:r>
          </w:p>
        </w:tc>
        <w:tc>
          <w:tcPr>
            <w:tcW w:w="4677" w:type="dxa"/>
            <w:gridSpan w:val="2"/>
          </w:tcPr>
          <w:p w14:paraId="7DE4BFE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tożsamym do wnioskowanego działania</w:t>
            </w:r>
          </w:p>
        </w:tc>
        <w:tc>
          <w:tcPr>
            <w:tcW w:w="1418" w:type="dxa"/>
          </w:tcPr>
          <w:p w14:paraId="4BA2AE2D" w14:textId="225E26F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3B00C31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391EEB9" w14:textId="77777777" w:rsidTr="00FD5139">
        <w:trPr>
          <w:trHeight w:val="1278"/>
        </w:trPr>
        <w:tc>
          <w:tcPr>
            <w:tcW w:w="640" w:type="dxa"/>
            <w:vMerge/>
          </w:tcPr>
          <w:p w14:paraId="46CAA8B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67B8648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7F5714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podobnym do wnioskowanego działania</w:t>
            </w:r>
          </w:p>
        </w:tc>
        <w:tc>
          <w:tcPr>
            <w:tcW w:w="1418" w:type="dxa"/>
          </w:tcPr>
          <w:p w14:paraId="0E07694B" w14:textId="6BEDCCE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D5F141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2DE9A2B" w14:textId="77777777" w:rsidTr="00FD5139">
        <w:trPr>
          <w:trHeight w:val="1255"/>
        </w:trPr>
        <w:tc>
          <w:tcPr>
            <w:tcW w:w="640" w:type="dxa"/>
            <w:vMerge/>
          </w:tcPr>
          <w:p w14:paraId="2080168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6CED4BC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67FF79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znacznie odbiegającym od wnioskowanego działania</w:t>
            </w:r>
          </w:p>
        </w:tc>
        <w:tc>
          <w:tcPr>
            <w:tcW w:w="1418" w:type="dxa"/>
          </w:tcPr>
          <w:p w14:paraId="564B2D68" w14:textId="1CDB4FAE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1D19D3C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916827D" w14:textId="77777777" w:rsidTr="00FD5139">
        <w:trPr>
          <w:trHeight w:val="702"/>
        </w:trPr>
        <w:tc>
          <w:tcPr>
            <w:tcW w:w="7513" w:type="dxa"/>
            <w:gridSpan w:val="4"/>
            <w:vAlign w:val="center"/>
          </w:tcPr>
          <w:p w14:paraId="30CD166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Liczba punktów możliwych do uzyskania:</w:t>
            </w:r>
          </w:p>
        </w:tc>
        <w:tc>
          <w:tcPr>
            <w:tcW w:w="2552" w:type="dxa"/>
            <w:gridSpan w:val="2"/>
            <w:vAlign w:val="center"/>
          </w:tcPr>
          <w:p w14:paraId="46E20CE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100 pkt</w:t>
            </w:r>
          </w:p>
        </w:tc>
      </w:tr>
      <w:tr w:rsidR="00C84690" w:rsidRPr="00C84690" w14:paraId="1D1A873E" w14:textId="77777777" w:rsidTr="00FD5139">
        <w:trPr>
          <w:trHeight w:val="697"/>
        </w:trPr>
        <w:tc>
          <w:tcPr>
            <w:tcW w:w="7513" w:type="dxa"/>
            <w:gridSpan w:val="4"/>
            <w:vAlign w:val="center"/>
          </w:tcPr>
          <w:p w14:paraId="1F98DD9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Liczba punktów zdobytych:</w:t>
            </w:r>
          </w:p>
        </w:tc>
        <w:tc>
          <w:tcPr>
            <w:tcW w:w="2552" w:type="dxa"/>
            <w:gridSpan w:val="2"/>
            <w:vAlign w:val="center"/>
          </w:tcPr>
          <w:p w14:paraId="4678A33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DC31E95" w14:textId="77777777" w:rsidR="00C84690" w:rsidRPr="00C84690" w:rsidRDefault="00C84690" w:rsidP="004C3252">
      <w:pPr>
        <w:spacing w:before="240"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Maksymalna ilość punktów, jaką wniosek może otrzymać na podstawie karty oceny merytorycznej: 100 pkt. Realizacja wniosku następuje po uzyskaniu minimum 51 % punktów z ogółu punktów możliwych do zdobycia, tj.: 51 pkt;</w:t>
      </w:r>
    </w:p>
    <w:p w14:paraId="3ED10D23" w14:textId="77777777" w:rsidR="00D82132" w:rsidRDefault="00D82132" w:rsidP="00C84690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77D2BE62" w14:textId="255551A3" w:rsidR="00C84690" w:rsidRPr="00C84690" w:rsidRDefault="00C84690" w:rsidP="00C84690">
      <w:pPr>
        <w:spacing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Data oceny wniosku: </w:t>
      </w:r>
      <w:r w:rsidR="00C506BE">
        <w:rPr>
          <w:rFonts w:ascii="Arial" w:eastAsia="Calibri" w:hAnsi="Arial" w:cs="Arial"/>
          <w:sz w:val="24"/>
          <w:szCs w:val="24"/>
        </w:rPr>
        <w:t>………………………….</w:t>
      </w:r>
    </w:p>
    <w:p w14:paraId="6ADEA2FF" w14:textId="77777777" w:rsidR="00C84690" w:rsidRPr="00C84690" w:rsidRDefault="00C84690" w:rsidP="00D82132">
      <w:pPr>
        <w:spacing w:before="240"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Wniosek oceniony przez Komisję w składzie:</w:t>
      </w:r>
    </w:p>
    <w:p w14:paraId="7A1FF1F7" w14:textId="559C3B32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……</w:t>
      </w:r>
    </w:p>
    <w:p w14:paraId="36928F23" w14:textId="3BDAE1E2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.….</w:t>
      </w:r>
    </w:p>
    <w:p w14:paraId="2F89F5AD" w14:textId="26F5B985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</w:t>
      </w:r>
      <w:r w:rsidRPr="00C84690">
        <w:rPr>
          <w:rFonts w:ascii="Arial" w:eastAsia="Calibri" w:hAnsi="Arial" w:cs="Arial"/>
          <w:sz w:val="24"/>
          <w:szCs w:val="24"/>
        </w:rPr>
        <w:t>…</w:t>
      </w:r>
      <w:r w:rsidR="00C506BE">
        <w:rPr>
          <w:rFonts w:ascii="Arial" w:eastAsia="Calibri" w:hAnsi="Arial" w:cs="Arial"/>
          <w:sz w:val="24"/>
          <w:szCs w:val="24"/>
        </w:rPr>
        <w:t>.</w:t>
      </w:r>
    </w:p>
    <w:p w14:paraId="5AA2BE05" w14:textId="5E654914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</w:t>
      </w:r>
    </w:p>
    <w:p w14:paraId="3060AD4B" w14:textId="57186847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</w:t>
      </w:r>
    </w:p>
    <w:p w14:paraId="2645DA0B" w14:textId="77777777" w:rsidR="00C506BE" w:rsidRDefault="00C506BE" w:rsidP="00C84690">
      <w:pPr>
        <w:spacing w:line="254" w:lineRule="auto"/>
        <w:rPr>
          <w:rFonts w:ascii="Arial" w:eastAsia="Calibri" w:hAnsi="Arial" w:cs="Arial"/>
          <w:b/>
          <w:sz w:val="24"/>
          <w:szCs w:val="24"/>
        </w:rPr>
      </w:pPr>
    </w:p>
    <w:p w14:paraId="07E4EA2B" w14:textId="60CA912A" w:rsidR="00C84690" w:rsidRPr="00C84690" w:rsidRDefault="00C84690" w:rsidP="00C84690">
      <w:pPr>
        <w:spacing w:line="254" w:lineRule="auto"/>
        <w:rPr>
          <w:rFonts w:ascii="Arial" w:eastAsia="Calibri" w:hAnsi="Arial" w:cs="Arial"/>
          <w:b/>
          <w:sz w:val="24"/>
          <w:szCs w:val="24"/>
        </w:rPr>
      </w:pPr>
      <w:r w:rsidRPr="00C84690">
        <w:rPr>
          <w:rFonts w:ascii="Arial" w:eastAsia="Calibri" w:hAnsi="Arial" w:cs="Arial"/>
          <w:b/>
          <w:sz w:val="24"/>
          <w:szCs w:val="24"/>
        </w:rPr>
        <w:t>UWAGA:</w:t>
      </w:r>
    </w:p>
    <w:p w14:paraId="73F837E1" w14:textId="77777777" w:rsidR="00C84690" w:rsidRPr="00C84690" w:rsidRDefault="00C84690" w:rsidP="00C84690">
      <w:pPr>
        <w:numPr>
          <w:ilvl w:val="0"/>
          <w:numId w:val="21"/>
        </w:num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pierwszego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161B4099" w14:textId="77777777" w:rsidR="004C3252" w:rsidRDefault="00C84690" w:rsidP="004C3252">
      <w:pPr>
        <w:numPr>
          <w:ilvl w:val="0"/>
          <w:numId w:val="20"/>
        </w:numPr>
        <w:spacing w:before="240"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W ramach pierwszego naboru wniosków zrealizowany może być tylko wniosek spełniający co najmniej jeden z priorytetów wydatkowania środków KFS. Wszystkie priorytety są równorzędne.</w:t>
      </w:r>
    </w:p>
    <w:p w14:paraId="3ECC5C29" w14:textId="798C4AB7" w:rsidR="00C84690" w:rsidRPr="00C84690" w:rsidRDefault="00C84690" w:rsidP="004C3252">
      <w:pPr>
        <w:spacing w:before="240"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 </w:t>
      </w:r>
    </w:p>
    <w:p w14:paraId="40F87440" w14:textId="77777777" w:rsidR="00C84690" w:rsidRPr="00C84690" w:rsidRDefault="00C84690" w:rsidP="00C84690">
      <w:pPr>
        <w:numPr>
          <w:ilvl w:val="0"/>
          <w:numId w:val="21"/>
        </w:numPr>
        <w:spacing w:before="240" w:after="0"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lastRenderedPageBreak/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drugiego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16908F8C" w14:textId="77777777" w:rsidR="00C84690" w:rsidRPr="00C84690" w:rsidRDefault="00C84690" w:rsidP="00C84690">
      <w:pPr>
        <w:numPr>
          <w:ilvl w:val="0"/>
          <w:numId w:val="20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Do oceny kryterium Urząd uwzględni wyniki prognozy „Barometr Zawodów” dla powiatu węgorzewskiego dostępne na stronie Barometru Zawodów: </w:t>
      </w:r>
      <w:hyperlink r:id="rId8" w:history="1">
        <w:r w:rsidRPr="00C8469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https://barometrzawodow.pl/modul/prognozy-na-plakatach?publication=county&amp;province=14&amp;county=323&amp;year=2026&amp;form-group%5B%5D=all</w:t>
        </w:r>
      </w:hyperlink>
      <w:r w:rsidRPr="00C84690">
        <w:rPr>
          <w:rFonts w:ascii="Arial" w:eastAsia="Calibri" w:hAnsi="Arial" w:cs="Arial"/>
          <w:sz w:val="24"/>
          <w:szCs w:val="24"/>
        </w:rPr>
        <w:t xml:space="preserve"> </w:t>
      </w:r>
    </w:p>
    <w:p w14:paraId="42DFAE99" w14:textId="77777777" w:rsidR="00C84690" w:rsidRPr="00C84690" w:rsidRDefault="00C84690" w:rsidP="00C84690">
      <w:pPr>
        <w:numPr>
          <w:ilvl w:val="0"/>
          <w:numId w:val="20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W sytuacji złożenia wniosku na kilka różnych działań ocena kryterium nastąpi na podstawie wzoru: X= Σ punktów dla każdego z wnioskowanych działań / liczba działań. Uzyskany wynik stanowić będzie średnią. </w:t>
      </w:r>
    </w:p>
    <w:p w14:paraId="1A39FB07" w14:textId="77777777" w:rsidR="00C84690" w:rsidRP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Przykład: szkolenie nr 1 w zawodzie deficytowym (30 pkt) + szkolenie nr 2 </w:t>
      </w:r>
      <w:r w:rsidRPr="00C84690">
        <w:rPr>
          <w:rFonts w:ascii="Arial" w:eastAsia="Calibri" w:hAnsi="Arial" w:cs="Arial"/>
          <w:sz w:val="24"/>
          <w:szCs w:val="24"/>
        </w:rPr>
        <w:br/>
        <w:t>w zawodzie zrównoważonym (15 pkt) = 45 pkt / 2 = 22,5 pkt</w:t>
      </w:r>
    </w:p>
    <w:p w14:paraId="3D5FEE0C" w14:textId="77777777" w:rsidR="00C84690" w:rsidRP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12"/>
          <w:szCs w:val="12"/>
        </w:rPr>
      </w:pPr>
    </w:p>
    <w:p w14:paraId="243C062C" w14:textId="77777777" w:rsidR="00C84690" w:rsidRPr="00C84690" w:rsidRDefault="00C84690" w:rsidP="00C84690">
      <w:pPr>
        <w:numPr>
          <w:ilvl w:val="0"/>
          <w:numId w:val="21"/>
        </w:num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czwartego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2DC58839" w14:textId="77777777" w:rsidR="00C84690" w:rsidRPr="00C84690" w:rsidRDefault="00C84690" w:rsidP="00C84690">
      <w:p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Koszt kształcenia ustawicznego ustalany będzie w oparciu o koszt osobogodziny kształcenia (w przypadku kursów), przy czym przy ocenie kosztu kształcenia Urząd weźmie pod uwagę:</w:t>
      </w:r>
    </w:p>
    <w:p w14:paraId="0E07BC11" w14:textId="77777777" w:rsidR="00C84690" w:rsidRPr="00C84690" w:rsidRDefault="00C84690" w:rsidP="00C84690">
      <w:pPr>
        <w:numPr>
          <w:ilvl w:val="0"/>
          <w:numId w:val="22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ofertę cenową wybranego realizatora oraz dwóch pozostałych potencjalnych realizatorów kształcenia, </w:t>
      </w:r>
    </w:p>
    <w:p w14:paraId="59C684FB" w14:textId="71B23B77" w:rsidR="00C84690" w:rsidRPr="00C84690" w:rsidRDefault="00C84690" w:rsidP="00C84690">
      <w:pPr>
        <w:numPr>
          <w:ilvl w:val="0"/>
          <w:numId w:val="22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dokonane przez Urząd rozeznanie cen, o ile ceny wskazane przez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>nioskodawcę budzić będą wątpliwości Urzędu.</w:t>
      </w:r>
    </w:p>
    <w:p w14:paraId="2FE882DA" w14:textId="1FB4F4AA" w:rsidR="00C84690" w:rsidRP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W sytuacji, gdy wskazany przez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 xml:space="preserve">nioskodawcę realizator kształcenia ustawicznego jest jedynym wykonawcą i nie ma możliwości porównania cen kształcenia w danym zakresie, wskazane we wniosku koszty uznane zostaną za porównywalne ze średnią ceną rynkową. W tym przypadku wniosek uzyska 15 pkt. Jeżeli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 xml:space="preserve">nioskodawca wskaże, że wybrana przez niego instytucja jest jedynym realizatorem kształcenia </w:t>
      </w:r>
      <w:r w:rsidR="00C506BE">
        <w:rPr>
          <w:rFonts w:ascii="Arial" w:eastAsia="Calibri" w:hAnsi="Arial" w:cs="Arial"/>
          <w:sz w:val="24"/>
          <w:szCs w:val="24"/>
        </w:rPr>
        <w:br/>
      </w:r>
      <w:r w:rsidRPr="00C84690">
        <w:rPr>
          <w:rFonts w:ascii="Arial" w:eastAsia="Calibri" w:hAnsi="Arial" w:cs="Arial"/>
          <w:sz w:val="24"/>
          <w:szCs w:val="24"/>
        </w:rPr>
        <w:t>a Urząd na podstawie własnego rozeznania znajdzie kontroferty, wówczas wniosek zostanie oceniony zgodnie z cenami znalezionymi przez Urząd.</w:t>
      </w:r>
    </w:p>
    <w:p w14:paraId="64A89F77" w14:textId="701421D9" w:rsidR="00BA7597" w:rsidRPr="00C84690" w:rsidRDefault="00BA7597" w:rsidP="00C84690"/>
    <w:sectPr w:rsidR="00BA7597" w:rsidRPr="00C84690" w:rsidSect="00163A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709" w:left="1021" w:header="226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1E51" w14:textId="77777777" w:rsidR="00AC608E" w:rsidRDefault="00AC608E" w:rsidP="00E03444">
      <w:pPr>
        <w:spacing w:after="0" w:line="240" w:lineRule="auto"/>
      </w:pPr>
      <w:r>
        <w:separator/>
      </w:r>
    </w:p>
  </w:endnote>
  <w:endnote w:type="continuationSeparator" w:id="0">
    <w:p w14:paraId="1EC91D3E" w14:textId="77777777" w:rsidR="00AC608E" w:rsidRDefault="00AC608E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935872977" name="Obraz 93587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0F72" w14:textId="77777777" w:rsidR="00AC608E" w:rsidRDefault="00AC608E" w:rsidP="00E03444">
      <w:pPr>
        <w:spacing w:after="0" w:line="240" w:lineRule="auto"/>
      </w:pPr>
      <w:r>
        <w:separator/>
      </w:r>
    </w:p>
  </w:footnote>
  <w:footnote w:type="continuationSeparator" w:id="0">
    <w:p w14:paraId="15BA84C4" w14:textId="77777777" w:rsidR="00AC608E" w:rsidRDefault="00AC608E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670428950" name="Obraz 67042895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977534957" name="Obraz 97753495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8E3"/>
    <w:multiLevelType w:val="hybridMultilevel"/>
    <w:tmpl w:val="2DDA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0773"/>
    <w:multiLevelType w:val="hybridMultilevel"/>
    <w:tmpl w:val="F78417A0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71F1"/>
    <w:multiLevelType w:val="hybridMultilevel"/>
    <w:tmpl w:val="1CF2EDAC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136C9"/>
    <w:multiLevelType w:val="hybridMultilevel"/>
    <w:tmpl w:val="4572A9E0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B286A"/>
    <w:multiLevelType w:val="hybridMultilevel"/>
    <w:tmpl w:val="CFC2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80234"/>
    <w:multiLevelType w:val="hybridMultilevel"/>
    <w:tmpl w:val="72A6E2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D7BC6"/>
    <w:multiLevelType w:val="hybridMultilevel"/>
    <w:tmpl w:val="26D2B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2726985">
    <w:abstractNumId w:val="16"/>
  </w:num>
  <w:num w:numId="2" w16cid:durableId="1170950398">
    <w:abstractNumId w:val="14"/>
  </w:num>
  <w:num w:numId="3" w16cid:durableId="192891126">
    <w:abstractNumId w:val="19"/>
  </w:num>
  <w:num w:numId="4" w16cid:durableId="283342446">
    <w:abstractNumId w:val="12"/>
  </w:num>
  <w:num w:numId="5" w16cid:durableId="1040128033">
    <w:abstractNumId w:val="21"/>
  </w:num>
  <w:num w:numId="6" w16cid:durableId="1370371380">
    <w:abstractNumId w:val="7"/>
  </w:num>
  <w:num w:numId="7" w16cid:durableId="645358459">
    <w:abstractNumId w:val="13"/>
  </w:num>
  <w:num w:numId="8" w16cid:durableId="1859154835">
    <w:abstractNumId w:val="9"/>
  </w:num>
  <w:num w:numId="9" w16cid:durableId="1816099132">
    <w:abstractNumId w:val="15"/>
  </w:num>
  <w:num w:numId="10" w16cid:durableId="1473251187">
    <w:abstractNumId w:val="11"/>
  </w:num>
  <w:num w:numId="11" w16cid:durableId="257257530">
    <w:abstractNumId w:val="4"/>
  </w:num>
  <w:num w:numId="12" w16cid:durableId="1540510490">
    <w:abstractNumId w:val="1"/>
  </w:num>
  <w:num w:numId="13" w16cid:durableId="358287053">
    <w:abstractNumId w:val="5"/>
  </w:num>
  <w:num w:numId="14" w16cid:durableId="1573075573">
    <w:abstractNumId w:val="2"/>
  </w:num>
  <w:num w:numId="15" w16cid:durableId="66542775">
    <w:abstractNumId w:val="8"/>
  </w:num>
  <w:num w:numId="16" w16cid:durableId="58208533">
    <w:abstractNumId w:val="3"/>
  </w:num>
  <w:num w:numId="17" w16cid:durableId="457769854">
    <w:abstractNumId w:val="10"/>
  </w:num>
  <w:num w:numId="18" w16cid:durableId="608463641">
    <w:abstractNumId w:val="20"/>
  </w:num>
  <w:num w:numId="19" w16cid:durableId="975185011">
    <w:abstractNumId w:val="22"/>
  </w:num>
  <w:num w:numId="20" w16cid:durableId="146484592">
    <w:abstractNumId w:val="17"/>
  </w:num>
  <w:num w:numId="21" w16cid:durableId="1040591342">
    <w:abstractNumId w:val="18"/>
  </w:num>
  <w:num w:numId="22" w16cid:durableId="802381029">
    <w:abstractNumId w:val="6"/>
  </w:num>
  <w:num w:numId="23" w16cid:durableId="166712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10895"/>
    <w:rsid w:val="00012220"/>
    <w:rsid w:val="00015084"/>
    <w:rsid w:val="000176EE"/>
    <w:rsid w:val="00023419"/>
    <w:rsid w:val="000246F8"/>
    <w:rsid w:val="00026247"/>
    <w:rsid w:val="00030B4D"/>
    <w:rsid w:val="000339A1"/>
    <w:rsid w:val="000410E1"/>
    <w:rsid w:val="00044BC3"/>
    <w:rsid w:val="00047AA6"/>
    <w:rsid w:val="000562BC"/>
    <w:rsid w:val="00056FC8"/>
    <w:rsid w:val="00063E19"/>
    <w:rsid w:val="00065281"/>
    <w:rsid w:val="00073231"/>
    <w:rsid w:val="000748F5"/>
    <w:rsid w:val="00082E76"/>
    <w:rsid w:val="000877C1"/>
    <w:rsid w:val="00091004"/>
    <w:rsid w:val="000951C7"/>
    <w:rsid w:val="000A2694"/>
    <w:rsid w:val="000A53BD"/>
    <w:rsid w:val="000A6D5B"/>
    <w:rsid w:val="000C6AC0"/>
    <w:rsid w:val="000D2C32"/>
    <w:rsid w:val="000E15D5"/>
    <w:rsid w:val="000E1978"/>
    <w:rsid w:val="000E39E2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44B9"/>
    <w:rsid w:val="001371DB"/>
    <w:rsid w:val="00145079"/>
    <w:rsid w:val="001562CC"/>
    <w:rsid w:val="00163026"/>
    <w:rsid w:val="00163AC4"/>
    <w:rsid w:val="00173593"/>
    <w:rsid w:val="001863B6"/>
    <w:rsid w:val="001A38A6"/>
    <w:rsid w:val="001B2B63"/>
    <w:rsid w:val="001B3CE9"/>
    <w:rsid w:val="001B68C7"/>
    <w:rsid w:val="001C2FEA"/>
    <w:rsid w:val="001C52F7"/>
    <w:rsid w:val="001D59D4"/>
    <w:rsid w:val="001D5A59"/>
    <w:rsid w:val="001D78A5"/>
    <w:rsid w:val="001F65C8"/>
    <w:rsid w:val="00204AF2"/>
    <w:rsid w:val="00205521"/>
    <w:rsid w:val="00235C05"/>
    <w:rsid w:val="00236D17"/>
    <w:rsid w:val="002532EA"/>
    <w:rsid w:val="00253683"/>
    <w:rsid w:val="00263033"/>
    <w:rsid w:val="00281F88"/>
    <w:rsid w:val="00287462"/>
    <w:rsid w:val="00292511"/>
    <w:rsid w:val="00294A78"/>
    <w:rsid w:val="002A0AFC"/>
    <w:rsid w:val="002A2E0D"/>
    <w:rsid w:val="002C0CC2"/>
    <w:rsid w:val="002D6D18"/>
    <w:rsid w:val="002E0D99"/>
    <w:rsid w:val="002E4AE2"/>
    <w:rsid w:val="002F054A"/>
    <w:rsid w:val="002F5F3E"/>
    <w:rsid w:val="00311459"/>
    <w:rsid w:val="0031663C"/>
    <w:rsid w:val="00326426"/>
    <w:rsid w:val="00332FA7"/>
    <w:rsid w:val="0033302D"/>
    <w:rsid w:val="00342BA9"/>
    <w:rsid w:val="00345C71"/>
    <w:rsid w:val="0036344C"/>
    <w:rsid w:val="0037704F"/>
    <w:rsid w:val="0038170A"/>
    <w:rsid w:val="00384DB7"/>
    <w:rsid w:val="003932BF"/>
    <w:rsid w:val="00394D77"/>
    <w:rsid w:val="00396BC6"/>
    <w:rsid w:val="00396DC6"/>
    <w:rsid w:val="003A22EA"/>
    <w:rsid w:val="003A6EB7"/>
    <w:rsid w:val="003C2395"/>
    <w:rsid w:val="003C7EBB"/>
    <w:rsid w:val="003F1788"/>
    <w:rsid w:val="003F1FDD"/>
    <w:rsid w:val="003F4F7D"/>
    <w:rsid w:val="003F70B8"/>
    <w:rsid w:val="004040A0"/>
    <w:rsid w:val="00410AD0"/>
    <w:rsid w:val="004206BF"/>
    <w:rsid w:val="004319B0"/>
    <w:rsid w:val="004401D2"/>
    <w:rsid w:val="0044035E"/>
    <w:rsid w:val="00443954"/>
    <w:rsid w:val="004448DF"/>
    <w:rsid w:val="00451F71"/>
    <w:rsid w:val="00452DCE"/>
    <w:rsid w:val="00454758"/>
    <w:rsid w:val="004560C7"/>
    <w:rsid w:val="0046048A"/>
    <w:rsid w:val="00460BB3"/>
    <w:rsid w:val="0046600C"/>
    <w:rsid w:val="00472F19"/>
    <w:rsid w:val="00473E09"/>
    <w:rsid w:val="00484250"/>
    <w:rsid w:val="00493215"/>
    <w:rsid w:val="0049464D"/>
    <w:rsid w:val="004965CD"/>
    <w:rsid w:val="004A20D8"/>
    <w:rsid w:val="004B01E0"/>
    <w:rsid w:val="004B1050"/>
    <w:rsid w:val="004B3F91"/>
    <w:rsid w:val="004C092D"/>
    <w:rsid w:val="004C1EA5"/>
    <w:rsid w:val="004C3252"/>
    <w:rsid w:val="004D432D"/>
    <w:rsid w:val="004F01D5"/>
    <w:rsid w:val="005031F7"/>
    <w:rsid w:val="0050635F"/>
    <w:rsid w:val="00512249"/>
    <w:rsid w:val="00522310"/>
    <w:rsid w:val="00530742"/>
    <w:rsid w:val="00536902"/>
    <w:rsid w:val="005420FE"/>
    <w:rsid w:val="00544191"/>
    <w:rsid w:val="00544E85"/>
    <w:rsid w:val="0054531C"/>
    <w:rsid w:val="00552F17"/>
    <w:rsid w:val="0055526C"/>
    <w:rsid w:val="00556692"/>
    <w:rsid w:val="0056009B"/>
    <w:rsid w:val="00560FB7"/>
    <w:rsid w:val="00573C7E"/>
    <w:rsid w:val="005A23B7"/>
    <w:rsid w:val="005A6257"/>
    <w:rsid w:val="005C7E0D"/>
    <w:rsid w:val="006004AB"/>
    <w:rsid w:val="00606499"/>
    <w:rsid w:val="006134FE"/>
    <w:rsid w:val="00614F49"/>
    <w:rsid w:val="006224AF"/>
    <w:rsid w:val="00622E94"/>
    <w:rsid w:val="00631263"/>
    <w:rsid w:val="00632ECB"/>
    <w:rsid w:val="00641CC2"/>
    <w:rsid w:val="006522C0"/>
    <w:rsid w:val="006534A1"/>
    <w:rsid w:val="0066246C"/>
    <w:rsid w:val="00676AD8"/>
    <w:rsid w:val="006A2667"/>
    <w:rsid w:val="006A32F2"/>
    <w:rsid w:val="006B6A30"/>
    <w:rsid w:val="006B6D66"/>
    <w:rsid w:val="006C23DA"/>
    <w:rsid w:val="006C7143"/>
    <w:rsid w:val="006E0F7E"/>
    <w:rsid w:val="006E3E0E"/>
    <w:rsid w:val="006E67E6"/>
    <w:rsid w:val="00707588"/>
    <w:rsid w:val="007141B3"/>
    <w:rsid w:val="007248D1"/>
    <w:rsid w:val="00725FC7"/>
    <w:rsid w:val="00730A2C"/>
    <w:rsid w:val="00735C61"/>
    <w:rsid w:val="0073671A"/>
    <w:rsid w:val="00740F3B"/>
    <w:rsid w:val="0074673F"/>
    <w:rsid w:val="00747E04"/>
    <w:rsid w:val="00750FBE"/>
    <w:rsid w:val="007562B5"/>
    <w:rsid w:val="007566E1"/>
    <w:rsid w:val="007605B7"/>
    <w:rsid w:val="00760935"/>
    <w:rsid w:val="007646C8"/>
    <w:rsid w:val="00775AC2"/>
    <w:rsid w:val="00777405"/>
    <w:rsid w:val="00783506"/>
    <w:rsid w:val="00786824"/>
    <w:rsid w:val="007919CA"/>
    <w:rsid w:val="007B5F4D"/>
    <w:rsid w:val="007C0417"/>
    <w:rsid w:val="007C427B"/>
    <w:rsid w:val="007D43E2"/>
    <w:rsid w:val="007D4659"/>
    <w:rsid w:val="007D7320"/>
    <w:rsid w:val="007E372F"/>
    <w:rsid w:val="007E4FFC"/>
    <w:rsid w:val="007E6BC8"/>
    <w:rsid w:val="00801881"/>
    <w:rsid w:val="00801CC9"/>
    <w:rsid w:val="00803DC8"/>
    <w:rsid w:val="0080560A"/>
    <w:rsid w:val="008060E9"/>
    <w:rsid w:val="00806D7D"/>
    <w:rsid w:val="00812C79"/>
    <w:rsid w:val="00815E15"/>
    <w:rsid w:val="00820D06"/>
    <w:rsid w:val="00853029"/>
    <w:rsid w:val="0085451E"/>
    <w:rsid w:val="00857C2B"/>
    <w:rsid w:val="00862640"/>
    <w:rsid w:val="008721F1"/>
    <w:rsid w:val="008A3F34"/>
    <w:rsid w:val="008D4C32"/>
    <w:rsid w:val="008E7F47"/>
    <w:rsid w:val="008E7FD3"/>
    <w:rsid w:val="008F22C8"/>
    <w:rsid w:val="00901463"/>
    <w:rsid w:val="009174D7"/>
    <w:rsid w:val="00922D15"/>
    <w:rsid w:val="009251D2"/>
    <w:rsid w:val="00935031"/>
    <w:rsid w:val="00941A48"/>
    <w:rsid w:val="00942D94"/>
    <w:rsid w:val="00946264"/>
    <w:rsid w:val="00952191"/>
    <w:rsid w:val="009567C1"/>
    <w:rsid w:val="00956F52"/>
    <w:rsid w:val="009638BD"/>
    <w:rsid w:val="00971E4C"/>
    <w:rsid w:val="0098498B"/>
    <w:rsid w:val="00987F0D"/>
    <w:rsid w:val="0099173B"/>
    <w:rsid w:val="00996371"/>
    <w:rsid w:val="00996F3B"/>
    <w:rsid w:val="009A132B"/>
    <w:rsid w:val="009A15A8"/>
    <w:rsid w:val="009A1876"/>
    <w:rsid w:val="009A3E44"/>
    <w:rsid w:val="009B3369"/>
    <w:rsid w:val="009B42A0"/>
    <w:rsid w:val="009C43A2"/>
    <w:rsid w:val="009C6B5A"/>
    <w:rsid w:val="009D14DA"/>
    <w:rsid w:val="009E5DE5"/>
    <w:rsid w:val="009F7593"/>
    <w:rsid w:val="00A030D4"/>
    <w:rsid w:val="00A23AC5"/>
    <w:rsid w:val="00A2512B"/>
    <w:rsid w:val="00A31527"/>
    <w:rsid w:val="00A32AD7"/>
    <w:rsid w:val="00A40A4A"/>
    <w:rsid w:val="00A40EF0"/>
    <w:rsid w:val="00A43BB4"/>
    <w:rsid w:val="00A62F7C"/>
    <w:rsid w:val="00A71C09"/>
    <w:rsid w:val="00A931EA"/>
    <w:rsid w:val="00AA31B0"/>
    <w:rsid w:val="00AA7A21"/>
    <w:rsid w:val="00AB0499"/>
    <w:rsid w:val="00AB7EAA"/>
    <w:rsid w:val="00AC608E"/>
    <w:rsid w:val="00AD2D1E"/>
    <w:rsid w:val="00AD5665"/>
    <w:rsid w:val="00AE27DD"/>
    <w:rsid w:val="00AE2C3C"/>
    <w:rsid w:val="00B14EAD"/>
    <w:rsid w:val="00B150DF"/>
    <w:rsid w:val="00B203CF"/>
    <w:rsid w:val="00B25865"/>
    <w:rsid w:val="00B30636"/>
    <w:rsid w:val="00B3078A"/>
    <w:rsid w:val="00B307AF"/>
    <w:rsid w:val="00B32AC5"/>
    <w:rsid w:val="00B4413C"/>
    <w:rsid w:val="00B55722"/>
    <w:rsid w:val="00B64BEA"/>
    <w:rsid w:val="00B6788D"/>
    <w:rsid w:val="00B717B3"/>
    <w:rsid w:val="00B750B7"/>
    <w:rsid w:val="00B95C95"/>
    <w:rsid w:val="00BA3AD0"/>
    <w:rsid w:val="00BA7597"/>
    <w:rsid w:val="00BB43BE"/>
    <w:rsid w:val="00BD0401"/>
    <w:rsid w:val="00BD090D"/>
    <w:rsid w:val="00BE2633"/>
    <w:rsid w:val="00BF5ED0"/>
    <w:rsid w:val="00BF7346"/>
    <w:rsid w:val="00C033EC"/>
    <w:rsid w:val="00C04CCB"/>
    <w:rsid w:val="00C10E77"/>
    <w:rsid w:val="00C111C4"/>
    <w:rsid w:val="00C14E0E"/>
    <w:rsid w:val="00C40B2B"/>
    <w:rsid w:val="00C41260"/>
    <w:rsid w:val="00C42A68"/>
    <w:rsid w:val="00C464EF"/>
    <w:rsid w:val="00C506BE"/>
    <w:rsid w:val="00C6137F"/>
    <w:rsid w:val="00C63088"/>
    <w:rsid w:val="00C66001"/>
    <w:rsid w:val="00C73510"/>
    <w:rsid w:val="00C7583D"/>
    <w:rsid w:val="00C768A6"/>
    <w:rsid w:val="00C80F01"/>
    <w:rsid w:val="00C84690"/>
    <w:rsid w:val="00C945BC"/>
    <w:rsid w:val="00C95E60"/>
    <w:rsid w:val="00C96480"/>
    <w:rsid w:val="00CA357B"/>
    <w:rsid w:val="00CA5A33"/>
    <w:rsid w:val="00CA6E3D"/>
    <w:rsid w:val="00CA7DE4"/>
    <w:rsid w:val="00CB77CE"/>
    <w:rsid w:val="00CC2AC9"/>
    <w:rsid w:val="00CC60F1"/>
    <w:rsid w:val="00CC6D05"/>
    <w:rsid w:val="00CE3F4B"/>
    <w:rsid w:val="00CE4E3C"/>
    <w:rsid w:val="00CF6ECA"/>
    <w:rsid w:val="00D12555"/>
    <w:rsid w:val="00D12DAC"/>
    <w:rsid w:val="00D20406"/>
    <w:rsid w:val="00D27050"/>
    <w:rsid w:val="00D31F02"/>
    <w:rsid w:val="00D33889"/>
    <w:rsid w:val="00D36E3C"/>
    <w:rsid w:val="00D37BC3"/>
    <w:rsid w:val="00D429C8"/>
    <w:rsid w:val="00D44D5B"/>
    <w:rsid w:val="00D4538A"/>
    <w:rsid w:val="00D512CA"/>
    <w:rsid w:val="00D513C4"/>
    <w:rsid w:val="00D534E6"/>
    <w:rsid w:val="00D71C90"/>
    <w:rsid w:val="00D72525"/>
    <w:rsid w:val="00D82132"/>
    <w:rsid w:val="00D85832"/>
    <w:rsid w:val="00D93FB4"/>
    <w:rsid w:val="00DA097D"/>
    <w:rsid w:val="00DA310E"/>
    <w:rsid w:val="00DA5460"/>
    <w:rsid w:val="00DC05F5"/>
    <w:rsid w:val="00DC1340"/>
    <w:rsid w:val="00DC24E2"/>
    <w:rsid w:val="00DC7EA6"/>
    <w:rsid w:val="00DF0306"/>
    <w:rsid w:val="00DF1934"/>
    <w:rsid w:val="00DF2ABA"/>
    <w:rsid w:val="00DF7C60"/>
    <w:rsid w:val="00E03444"/>
    <w:rsid w:val="00E040DD"/>
    <w:rsid w:val="00E101F3"/>
    <w:rsid w:val="00E13B19"/>
    <w:rsid w:val="00E1411C"/>
    <w:rsid w:val="00E15B6C"/>
    <w:rsid w:val="00E261A6"/>
    <w:rsid w:val="00E269AA"/>
    <w:rsid w:val="00E27DCD"/>
    <w:rsid w:val="00E306CB"/>
    <w:rsid w:val="00E417D9"/>
    <w:rsid w:val="00E443E8"/>
    <w:rsid w:val="00E513F1"/>
    <w:rsid w:val="00E536C0"/>
    <w:rsid w:val="00E5684C"/>
    <w:rsid w:val="00E570ED"/>
    <w:rsid w:val="00E571D6"/>
    <w:rsid w:val="00E60BC7"/>
    <w:rsid w:val="00E67226"/>
    <w:rsid w:val="00E81D21"/>
    <w:rsid w:val="00E822F4"/>
    <w:rsid w:val="00E8573D"/>
    <w:rsid w:val="00E86FE2"/>
    <w:rsid w:val="00E92E3C"/>
    <w:rsid w:val="00EB0E85"/>
    <w:rsid w:val="00ED26AC"/>
    <w:rsid w:val="00ED5B9F"/>
    <w:rsid w:val="00ED7F11"/>
    <w:rsid w:val="00EE0D7C"/>
    <w:rsid w:val="00EE3F1E"/>
    <w:rsid w:val="00EF2E86"/>
    <w:rsid w:val="00F02B45"/>
    <w:rsid w:val="00F02E25"/>
    <w:rsid w:val="00F032D3"/>
    <w:rsid w:val="00F10F59"/>
    <w:rsid w:val="00F31C19"/>
    <w:rsid w:val="00F73F90"/>
    <w:rsid w:val="00F86339"/>
    <w:rsid w:val="00F90516"/>
    <w:rsid w:val="00F9572A"/>
    <w:rsid w:val="00F95E94"/>
    <w:rsid w:val="00FA1DFF"/>
    <w:rsid w:val="00FB1805"/>
    <w:rsid w:val="00FD33E3"/>
    <w:rsid w:val="00FD5139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2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D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14&amp;county=323&amp;year=2026&amp;form-group%5B%5D=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80</cp:revision>
  <cp:lastPrinted>2025-05-20T11:11:00Z</cp:lastPrinted>
  <dcterms:created xsi:type="dcterms:W3CDTF">2024-03-25T07:36:00Z</dcterms:created>
  <dcterms:modified xsi:type="dcterms:W3CDTF">2026-03-16T12:53:00Z</dcterms:modified>
</cp:coreProperties>
</file>